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B96EB2">
      <w:pPr>
        <w:ind w:right="-442"/>
        <w:rPr>
          <w:sz w:val="16"/>
          <w:szCs w:val="16"/>
        </w:rPr>
      </w:pPr>
      <w:bookmarkStart w:id="0" w:name="_GoBack"/>
      <w:bookmarkEnd w:id="0"/>
    </w:p>
    <w:p w:rsidR="001A2A43" w:rsidRPr="002D1C78" w:rsidRDefault="00B96EB2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 xml:space="preserve">в </w:t>
      </w:r>
      <w:proofErr w:type="spell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 xml:space="preserve">-Курильском территориальном управлении 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>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Pr="002D1C78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7B5A47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proofErr w:type="spellStart"/>
      <w:r w:rsidR="006A2491">
        <w:rPr>
          <w:sz w:val="22"/>
          <w:szCs w:val="22"/>
        </w:rPr>
        <w:t>Таратенко</w:t>
      </w:r>
      <w:proofErr w:type="spellEnd"/>
      <w:r w:rsidR="006A2491">
        <w:rPr>
          <w:sz w:val="22"/>
          <w:szCs w:val="22"/>
        </w:rPr>
        <w:t xml:space="preserve"> Александра Александровича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6A2491">
        <w:rPr>
          <w:sz w:val="22"/>
          <w:szCs w:val="22"/>
        </w:rPr>
        <w:t xml:space="preserve"> и приказа Министерства сельского хозяйства от </w:t>
      </w:r>
      <w:r w:rsidR="00977F31">
        <w:rPr>
          <w:sz w:val="22"/>
          <w:szCs w:val="22"/>
        </w:rPr>
        <w:t>03.02.2016</w:t>
      </w:r>
      <w:r w:rsidR="006A2491">
        <w:rPr>
          <w:sz w:val="22"/>
          <w:szCs w:val="22"/>
        </w:rPr>
        <w:t xml:space="preserve"> № </w:t>
      </w:r>
      <w:r w:rsidR="00977F31">
        <w:rPr>
          <w:sz w:val="22"/>
          <w:szCs w:val="22"/>
        </w:rPr>
        <w:t>13</w:t>
      </w:r>
      <w:r w:rsidR="006A2491">
        <w:rPr>
          <w:sz w:val="22"/>
          <w:szCs w:val="22"/>
        </w:rPr>
        <w:t>-кр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</w:t>
      </w:r>
      <w:proofErr w:type="gramEnd"/>
      <w:r w:rsidRPr="002D1C78">
        <w:rPr>
          <w:sz w:val="22"/>
          <w:szCs w:val="22"/>
        </w:rPr>
        <w:t xml:space="preserve"> на замещение вакантных должностей государственной гражданской службы Российской Федерации: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33491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FE60F5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2A1408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2A1408" w:rsidRDefault="002A1408" w:rsidP="00142DFF">
            <w:pPr>
              <w:tabs>
                <w:tab w:val="left" w:pos="1425"/>
              </w:tabs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2A1408" w:rsidRDefault="002A1408" w:rsidP="00D91ED5">
            <w:r>
              <w:t>Главный специалист – эксперт финансово – экономического отдела</w:t>
            </w:r>
          </w:p>
        </w:tc>
        <w:tc>
          <w:tcPr>
            <w:tcW w:w="567" w:type="dxa"/>
            <w:shd w:val="clear" w:color="auto" w:fill="auto"/>
          </w:tcPr>
          <w:p w:rsidR="002A1408" w:rsidRDefault="002A1408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A1408" w:rsidRDefault="002A1408" w:rsidP="00E6511D">
            <w:pPr>
              <w:tabs>
                <w:tab w:val="left" w:pos="1425"/>
              </w:tabs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</w:tcPr>
          <w:p w:rsidR="002A1408" w:rsidRDefault="002A1408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2A1408" w:rsidRDefault="002A1408" w:rsidP="00AC7FF6">
            <w:r w:rsidRPr="002A1408">
              <w:t>Знание ФЗ от 27.07.2004 № 79-ФЗ «О государственной гражданской службе Российской Федерации», ФЗ от 06.12.2011 № 402-ФЗ «О бухгалтерском учете», Налоговый Кодекс РФ, Бюджетный Кодекс РФ, знание единого плана счетов бух</w:t>
            </w:r>
            <w:proofErr w:type="gramStart"/>
            <w:r w:rsidRPr="002A1408">
              <w:t>.</w:t>
            </w:r>
            <w:proofErr w:type="gramEnd"/>
            <w:r w:rsidRPr="002A1408">
              <w:t xml:space="preserve"> </w:t>
            </w:r>
            <w:proofErr w:type="gramStart"/>
            <w:r w:rsidRPr="002A1408">
              <w:t>у</w:t>
            </w:r>
            <w:proofErr w:type="gramEnd"/>
            <w:r w:rsidRPr="002A1408">
              <w:t xml:space="preserve">чета для органов государственной власти (государственных органов), органов местного самоуправления, </w:t>
            </w:r>
            <w:proofErr w:type="spellStart"/>
            <w:r w:rsidRPr="002A1408">
              <w:t>органовуправления</w:t>
            </w:r>
            <w:proofErr w:type="spellEnd"/>
            <w:r w:rsidRPr="002A1408">
              <w:t xml:space="preserve"> государственными внебюджетными фондами, государственных академий наук, государственных (муниципальных) учреждений и инструкций утвержденный приказом Министерства финансов от 01.12.2010 № 157 н, план счетов бюджетного учета и инструкции по его применению </w:t>
            </w:r>
            <w:proofErr w:type="gramStart"/>
            <w:r w:rsidRPr="002A1408">
              <w:t>утвержденный</w:t>
            </w:r>
            <w:proofErr w:type="gramEnd"/>
            <w:r w:rsidRPr="002A1408">
              <w:t xml:space="preserve"> приказом Министерства финансов от 06.12.2010 № 162 н, другие законодательные и нормативные акты, регулирующие  вопросы бухгалтерского учета и отчетности</w:t>
            </w:r>
          </w:p>
        </w:tc>
      </w:tr>
      <w:tr w:rsidR="008A731C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8A731C" w:rsidRDefault="002A1408" w:rsidP="00142DFF">
            <w:pPr>
              <w:tabs>
                <w:tab w:val="left" w:pos="1425"/>
              </w:tabs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8A731C" w:rsidRDefault="00AA554A" w:rsidP="00D91ED5">
            <w:r>
              <w:t>Ведущий</w:t>
            </w:r>
            <w:r w:rsidR="008A731C" w:rsidRPr="008A731C">
              <w:t xml:space="preserve"> специалист-эксперт </w:t>
            </w:r>
            <w:r w:rsidR="00D91ED5">
              <w:t>отдела правового обеспечения</w:t>
            </w:r>
          </w:p>
        </w:tc>
        <w:tc>
          <w:tcPr>
            <w:tcW w:w="567" w:type="dxa"/>
            <w:shd w:val="clear" w:color="auto" w:fill="auto"/>
          </w:tcPr>
          <w:p w:rsidR="008A731C" w:rsidRDefault="00C06BDB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4324F0" w:rsidP="00E6511D">
            <w:pPr>
              <w:tabs>
                <w:tab w:val="left" w:pos="1425"/>
              </w:tabs>
            </w:pPr>
            <w:r>
              <w:t xml:space="preserve">Высшее </w:t>
            </w:r>
            <w:r w:rsidR="00540384">
              <w:t xml:space="preserve">юридическое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8A731C" w:rsidRDefault="008A731C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8A731C" w:rsidRDefault="00540384" w:rsidP="00AC7FF6">
            <w:r>
              <w:t xml:space="preserve">Знание ФЗ от 27.07.2004 № 79-ФЗ «О государственной гражданской службе Российской Федерации», ФЗ от 20.12.2004 № 166 ФЗ </w:t>
            </w:r>
            <w:r w:rsidRPr="00540384">
              <w:t>«О рыболовстве и сохранении водных биологических ресурсов»,</w:t>
            </w:r>
            <w:r>
              <w:t xml:space="preserve"> навык представления </w:t>
            </w:r>
            <w:r w:rsidR="00A3298A">
              <w:t>интересов в судах общей юрисдикции, арбитражных судах</w:t>
            </w:r>
          </w:p>
        </w:tc>
      </w:tr>
      <w:tr w:rsidR="00AA554A" w:rsidRPr="00433491" w:rsidTr="00977F31">
        <w:trPr>
          <w:trHeight w:val="4500"/>
        </w:trPr>
        <w:tc>
          <w:tcPr>
            <w:tcW w:w="540" w:type="dxa"/>
            <w:shd w:val="clear" w:color="auto" w:fill="auto"/>
          </w:tcPr>
          <w:p w:rsidR="00AA554A" w:rsidRDefault="002A1408" w:rsidP="00142DFF">
            <w:pPr>
              <w:tabs>
                <w:tab w:val="left" w:pos="1425"/>
              </w:tabs>
            </w:pPr>
            <w: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AA554A" w:rsidRDefault="00977F31" w:rsidP="00AA554A">
            <w:r>
              <w:t>Главный специалист - эксперт</w:t>
            </w:r>
            <w:r w:rsidR="00AA554A">
              <w:t xml:space="preserve"> </w:t>
            </w:r>
            <w:r w:rsidR="00AA554A" w:rsidRPr="00C06BDB">
              <w:t>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</w:tcPr>
          <w:p w:rsidR="00AA554A" w:rsidRDefault="00AA554A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AA554A" w:rsidRPr="00EA7026" w:rsidRDefault="00AA554A" w:rsidP="00B161D2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AA554A" w:rsidRDefault="00AA554A" w:rsidP="00B161D2">
            <w:pPr>
              <w:tabs>
                <w:tab w:val="left" w:pos="1425"/>
              </w:tabs>
            </w:pPr>
            <w:r w:rsidRPr="00AA554A"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</w:tcPr>
          <w:p w:rsidR="00AA554A" w:rsidRDefault="00AA554A" w:rsidP="00977F31">
            <w:proofErr w:type="gramStart"/>
            <w:r w:rsidRPr="00AA554A">
              <w:t xml:space="preserve">Знание ФЗ от 27.07.2004 № 79-ФЗ           «О государственной гражданской службе Российской Федерации»,                    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 w:rsidRPr="00AA554A">
              <w:t>рыбохозяйственного</w:t>
            </w:r>
            <w:proofErr w:type="spellEnd"/>
            <w:r w:rsidRPr="00AA554A">
              <w:t xml:space="preserve"> бассейна», Постановление Правительства Российской Федерации от 22.10.2008 № 775 </w:t>
            </w:r>
            <w:r w:rsidR="00977F31" w:rsidRPr="00977F31">
              <w:t>775 «Об оформлении, выдаче, регистрации, приостановлении действия и аннулирования разрешений на добычу (вылов) водных биологических</w:t>
            </w:r>
            <w:proofErr w:type="gramEnd"/>
            <w:r w:rsidR="00977F31" w:rsidRPr="00977F31">
              <w:t xml:space="preserve"> ресурсов, а также о внесении в них изменений»</w:t>
            </w:r>
          </w:p>
        </w:tc>
      </w:tr>
      <w:tr w:rsidR="008A731C" w:rsidRPr="00433491" w:rsidTr="00F2035C">
        <w:trPr>
          <w:trHeight w:val="1122"/>
        </w:trPr>
        <w:tc>
          <w:tcPr>
            <w:tcW w:w="540" w:type="dxa"/>
            <w:shd w:val="clear" w:color="auto" w:fill="auto"/>
          </w:tcPr>
          <w:p w:rsidR="008A731C" w:rsidRDefault="002A1408" w:rsidP="00142DFF">
            <w:pPr>
              <w:tabs>
                <w:tab w:val="left" w:pos="1425"/>
              </w:tabs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8A731C" w:rsidRPr="00C06BDB" w:rsidRDefault="00977F31" w:rsidP="00C06BDB">
            <w:r>
              <w:t>Ведущий</w:t>
            </w:r>
            <w:r w:rsidR="00C06BDB" w:rsidRPr="00C06BDB">
              <w:t xml:space="preserve"> специалист-эксперт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</w:tcPr>
          <w:p w:rsidR="008A731C" w:rsidRDefault="00C06BDB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8A731C" w:rsidRPr="00EA7026" w:rsidRDefault="00190484" w:rsidP="00B161D2">
            <w:pPr>
              <w:tabs>
                <w:tab w:val="left" w:pos="1425"/>
              </w:tabs>
            </w:pPr>
            <w:r w:rsidRPr="00EA7026">
              <w:t xml:space="preserve">Высшее </w:t>
            </w:r>
            <w: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8A731C" w:rsidRDefault="008A731C" w:rsidP="00B161D2">
            <w:pPr>
              <w:tabs>
                <w:tab w:val="left" w:pos="1425"/>
              </w:tabs>
            </w:pPr>
            <w:r>
              <w:t xml:space="preserve">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8A731C" w:rsidRDefault="00AC0FC2" w:rsidP="00C06BDB">
            <w:proofErr w:type="gramStart"/>
            <w:r>
              <w:t xml:space="preserve">Знание ФЗ от 27.07.2004 № 79-ФЗ           «О государственной гражданской службе Российской Федерации»,                    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бассейна», Постановление Правительства Российской Федерации от 22.10.2008 № 775 «Об оформлении, выдаче, регистрации, приостановлении действия и аннулирования разрешений на добычу (вылов) водных биологических ресурсов</w:t>
            </w:r>
            <w:proofErr w:type="gramEnd"/>
            <w:r>
              <w:t>, а также о внесении в них изменений»</w:t>
            </w:r>
          </w:p>
        </w:tc>
      </w:tr>
      <w:tr w:rsidR="00BF5560" w:rsidRPr="00433491" w:rsidTr="00977F31">
        <w:trPr>
          <w:trHeight w:val="2867"/>
        </w:trPr>
        <w:tc>
          <w:tcPr>
            <w:tcW w:w="540" w:type="dxa"/>
            <w:shd w:val="clear" w:color="auto" w:fill="auto"/>
          </w:tcPr>
          <w:p w:rsidR="00BF5560" w:rsidRDefault="002A1408" w:rsidP="00142DFF">
            <w:pPr>
              <w:tabs>
                <w:tab w:val="left" w:pos="1425"/>
              </w:tabs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BF5560" w:rsidRPr="00C06BDB" w:rsidRDefault="00BF5560" w:rsidP="009C1C56">
            <w:r>
              <w:t xml:space="preserve">Государственный инспектор </w:t>
            </w:r>
            <w:r w:rsidR="00843C12">
              <w:t xml:space="preserve">отдела государственного контроля, надзора и охраны водных биологических ресурсов и среды их обитания по </w:t>
            </w:r>
            <w:r w:rsidR="009C1C56">
              <w:t>Долинскому</w:t>
            </w:r>
            <w:r w:rsidR="00843C12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BF5560" w:rsidRDefault="00977F31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BF5560" w:rsidRPr="00EA7026" w:rsidRDefault="00BF5560" w:rsidP="00B161D2">
            <w:pPr>
              <w:tabs>
                <w:tab w:val="left" w:pos="1425"/>
              </w:tabs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</w:tcPr>
          <w:p w:rsidR="00BF5560" w:rsidRDefault="00BF5560" w:rsidP="00B161D2">
            <w:pPr>
              <w:tabs>
                <w:tab w:val="left" w:pos="142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Без предъявления </w:t>
            </w:r>
            <w:r w:rsidR="00D91ED5">
              <w:rPr>
                <w:rFonts w:eastAsia="Calibri"/>
              </w:rPr>
              <w:t xml:space="preserve">требований </w:t>
            </w:r>
            <w:r>
              <w:rPr>
                <w:rFonts w:eastAsia="Calibri"/>
              </w:rPr>
              <w:t>к стажу</w:t>
            </w:r>
          </w:p>
        </w:tc>
        <w:tc>
          <w:tcPr>
            <w:tcW w:w="3276" w:type="dxa"/>
            <w:shd w:val="clear" w:color="auto" w:fill="auto"/>
          </w:tcPr>
          <w:p w:rsidR="00BF5560" w:rsidRDefault="009B6F64" w:rsidP="000A14B9"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</w:t>
            </w:r>
            <w:r w:rsidR="000A14B9">
              <w:t>21.10.2013</w:t>
            </w:r>
            <w:r w:rsidRPr="00FE60F5">
              <w:t xml:space="preserve"> № </w:t>
            </w:r>
            <w:r w:rsidR="000A14B9">
              <w:t>385</w:t>
            </w:r>
            <w:r w:rsidRPr="00FE60F5">
              <w:t xml:space="preserve"> «Об утверждении Правил рыболовства для Дальневосточного </w:t>
            </w:r>
            <w:proofErr w:type="spellStart"/>
            <w:r w:rsidRPr="00FE60F5"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9B6F64" w:rsidRPr="00433491" w:rsidTr="00977F31">
        <w:trPr>
          <w:trHeight w:val="2965"/>
        </w:trPr>
        <w:tc>
          <w:tcPr>
            <w:tcW w:w="540" w:type="dxa"/>
            <w:shd w:val="clear" w:color="auto" w:fill="auto"/>
          </w:tcPr>
          <w:p w:rsidR="009B6F64" w:rsidRDefault="002A1408" w:rsidP="00142DFF">
            <w:pPr>
              <w:tabs>
                <w:tab w:val="left" w:pos="1425"/>
              </w:tabs>
            </w:pPr>
            <w: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9B6F64" w:rsidRDefault="00843C12" w:rsidP="009C1C56">
            <w:r>
              <w:t>Г</w:t>
            </w:r>
            <w:r w:rsidR="009B6F64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9C1C56">
              <w:t>Корсаковскому</w:t>
            </w:r>
            <w:proofErr w:type="spellEnd"/>
            <w:r w:rsidR="009B6F64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9B6F64" w:rsidRDefault="009B6F64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B6F64" w:rsidRDefault="009B6F64" w:rsidP="00B161D2">
            <w:pPr>
              <w:tabs>
                <w:tab w:val="left" w:pos="1425"/>
              </w:tabs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</w:tcPr>
          <w:p w:rsidR="009B6F64" w:rsidRDefault="009B6F64" w:rsidP="00391BD0">
            <w:pPr>
              <w:tabs>
                <w:tab w:val="left" w:pos="142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Без предъявления </w:t>
            </w:r>
            <w:r w:rsidR="00D91ED5">
              <w:rPr>
                <w:rFonts w:eastAsia="Calibri"/>
              </w:rPr>
              <w:t xml:space="preserve">требований </w:t>
            </w:r>
            <w:r>
              <w:rPr>
                <w:rFonts w:eastAsia="Calibri"/>
              </w:rPr>
              <w:t>к стажу</w:t>
            </w:r>
          </w:p>
        </w:tc>
        <w:tc>
          <w:tcPr>
            <w:tcW w:w="3276" w:type="dxa"/>
            <w:shd w:val="clear" w:color="auto" w:fill="auto"/>
          </w:tcPr>
          <w:p w:rsidR="009B6F64" w:rsidRDefault="009B6F64" w:rsidP="000A14B9"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</w:t>
            </w:r>
            <w:r w:rsidR="000A14B9">
              <w:t>21.10.2013</w:t>
            </w:r>
            <w:r w:rsidRPr="00FE60F5">
              <w:t xml:space="preserve"> № </w:t>
            </w:r>
            <w:r w:rsidR="000A14B9">
              <w:t>385</w:t>
            </w:r>
            <w:r w:rsidRPr="00FE60F5">
              <w:t xml:space="preserve"> «Об утверждении Правил рыболовства для Дальневосточного </w:t>
            </w:r>
            <w:proofErr w:type="spellStart"/>
            <w:r w:rsidRPr="00FE60F5"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9B6F64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9B6F64" w:rsidRDefault="002A1408" w:rsidP="00142DFF">
            <w:pPr>
              <w:tabs>
                <w:tab w:val="left" w:pos="1425"/>
              </w:tabs>
            </w:pP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9B6F64" w:rsidRDefault="009B6F64" w:rsidP="009C1C56">
            <w: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9C1C56">
              <w:t>Охинскому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9B6F64" w:rsidRDefault="009C1C56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B6F64" w:rsidRDefault="009B6F64" w:rsidP="00B161D2">
            <w:pPr>
              <w:tabs>
                <w:tab w:val="left" w:pos="1425"/>
              </w:tabs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</w:tcPr>
          <w:p w:rsidR="009B6F64" w:rsidRDefault="009B6F64" w:rsidP="00B161D2">
            <w:pPr>
              <w:tabs>
                <w:tab w:val="left" w:pos="142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Без предъявления </w:t>
            </w:r>
            <w:r w:rsidR="00D91ED5">
              <w:rPr>
                <w:rFonts w:eastAsia="Calibri"/>
              </w:rPr>
              <w:t xml:space="preserve">требований </w:t>
            </w:r>
            <w:r>
              <w:rPr>
                <w:rFonts w:eastAsia="Calibri"/>
              </w:rPr>
              <w:t>к стажу</w:t>
            </w:r>
          </w:p>
        </w:tc>
        <w:tc>
          <w:tcPr>
            <w:tcW w:w="3276" w:type="dxa"/>
            <w:shd w:val="clear" w:color="auto" w:fill="auto"/>
          </w:tcPr>
          <w:p w:rsidR="009B6F64" w:rsidRDefault="009B6F64" w:rsidP="000A14B9"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</w:t>
            </w:r>
            <w:r w:rsidR="000A14B9">
              <w:t>21.10.2013</w:t>
            </w:r>
            <w:r w:rsidRPr="00FE60F5">
              <w:t xml:space="preserve"> № </w:t>
            </w:r>
            <w:r w:rsidR="000A14B9">
              <w:t>385</w:t>
            </w:r>
            <w:r w:rsidRPr="00FE60F5">
              <w:t xml:space="preserve"> «Об утверждении Правил рыболовства для Дальневосточного </w:t>
            </w:r>
            <w:proofErr w:type="spellStart"/>
            <w:r w:rsidRPr="00FE60F5"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9C1C56" w:rsidRPr="00433491" w:rsidTr="00FE60F5">
        <w:trPr>
          <w:trHeight w:val="1006"/>
        </w:trPr>
        <w:tc>
          <w:tcPr>
            <w:tcW w:w="540" w:type="dxa"/>
            <w:shd w:val="clear" w:color="auto" w:fill="auto"/>
          </w:tcPr>
          <w:p w:rsidR="009C1C56" w:rsidRDefault="002A1408" w:rsidP="00142DFF">
            <w:pPr>
              <w:tabs>
                <w:tab w:val="left" w:pos="1425"/>
              </w:tabs>
            </w:pP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9C1C56" w:rsidRDefault="00977F31" w:rsidP="00977F31">
            <w:r>
              <w:t>Главный г</w:t>
            </w:r>
            <w:r w:rsidR="009C1C56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>Курильскому</w:t>
            </w:r>
            <w:r w:rsidR="009C1C56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9C1C56" w:rsidRDefault="00977F31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9C1C56" w:rsidRDefault="009C1C56" w:rsidP="00B161D2">
            <w:pPr>
              <w:tabs>
                <w:tab w:val="left" w:pos="1425"/>
              </w:tabs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</w:tcPr>
          <w:p w:rsidR="009C1C56" w:rsidRDefault="009C1C56" w:rsidP="00B161D2">
            <w:pPr>
              <w:tabs>
                <w:tab w:val="left" w:pos="1425"/>
              </w:tabs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9C1C56" w:rsidRDefault="009C1C56" w:rsidP="000A14B9"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</w:t>
            </w:r>
            <w:r>
              <w:t>21.10.2013</w:t>
            </w:r>
            <w:r w:rsidRPr="00FE60F5">
              <w:t xml:space="preserve"> № </w:t>
            </w:r>
            <w:r>
              <w:t>385</w:t>
            </w:r>
            <w:r w:rsidRPr="00FE60F5">
              <w:t xml:space="preserve"> «Об утверждении Правил рыболовства для Дальневосточного </w:t>
            </w:r>
            <w:proofErr w:type="spellStart"/>
            <w:r w:rsidRPr="00FE60F5"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9B6F64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lastRenderedPageBreak/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(</w:t>
      </w:r>
      <w:proofErr w:type="spellStart"/>
      <w:r w:rsidRPr="00766971">
        <w:rPr>
          <w:sz w:val="22"/>
          <w:szCs w:val="22"/>
        </w:rPr>
        <w:t>утвержден</w:t>
      </w:r>
      <w:r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432EAF" w:rsidRPr="002D1C78" w:rsidRDefault="00432EAF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0546EE">
        <w:rPr>
          <w:b/>
          <w:sz w:val="22"/>
          <w:szCs w:val="22"/>
        </w:rPr>
        <w:t>04 апреля</w:t>
      </w:r>
      <w:r w:rsidR="00760410">
        <w:rPr>
          <w:b/>
          <w:sz w:val="22"/>
          <w:szCs w:val="22"/>
        </w:rPr>
        <w:t xml:space="preserve"> 2016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0546EE">
        <w:rPr>
          <w:b/>
          <w:sz w:val="22"/>
          <w:szCs w:val="22"/>
        </w:rPr>
        <w:t>24 апреля</w:t>
      </w:r>
      <w:r w:rsidR="00760410">
        <w:rPr>
          <w:b/>
          <w:sz w:val="22"/>
          <w:szCs w:val="22"/>
        </w:rPr>
        <w:t xml:space="preserve"> 2016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                    </w:t>
      </w:r>
      <w:r w:rsidRPr="002D1C78">
        <w:rPr>
          <w:sz w:val="22"/>
          <w:szCs w:val="22"/>
        </w:rPr>
        <w:t xml:space="preserve"> 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0546EE">
        <w:rPr>
          <w:b/>
          <w:sz w:val="22"/>
          <w:szCs w:val="22"/>
        </w:rPr>
        <w:t>13.05</w:t>
      </w:r>
      <w:r w:rsidR="00760410">
        <w:rPr>
          <w:b/>
          <w:sz w:val="22"/>
          <w:szCs w:val="22"/>
        </w:rPr>
        <w:t>.2016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B96EB2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D1" w:rsidRDefault="008D52D1" w:rsidP="00A52BE7">
      <w:r>
        <w:separator/>
      </w:r>
    </w:p>
  </w:endnote>
  <w:endnote w:type="continuationSeparator" w:id="0">
    <w:p w:rsidR="008D52D1" w:rsidRDefault="008D52D1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D1" w:rsidRDefault="008D52D1" w:rsidP="00A52BE7">
      <w:r>
        <w:separator/>
      </w:r>
    </w:p>
  </w:footnote>
  <w:footnote w:type="continuationSeparator" w:id="0">
    <w:p w:rsidR="008D52D1" w:rsidRDefault="008D52D1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A14B9"/>
    <w:rsid w:val="000A2480"/>
    <w:rsid w:val="001110B6"/>
    <w:rsid w:val="00114BCD"/>
    <w:rsid w:val="00125700"/>
    <w:rsid w:val="00142576"/>
    <w:rsid w:val="00142DFF"/>
    <w:rsid w:val="00143330"/>
    <w:rsid w:val="00146C99"/>
    <w:rsid w:val="00190484"/>
    <w:rsid w:val="001A2A43"/>
    <w:rsid w:val="001A49C2"/>
    <w:rsid w:val="001C2595"/>
    <w:rsid w:val="001D10DF"/>
    <w:rsid w:val="001F5AC5"/>
    <w:rsid w:val="00201A14"/>
    <w:rsid w:val="002033AB"/>
    <w:rsid w:val="002248E9"/>
    <w:rsid w:val="002427F6"/>
    <w:rsid w:val="002506C2"/>
    <w:rsid w:val="00251FEA"/>
    <w:rsid w:val="00256E1D"/>
    <w:rsid w:val="0026430A"/>
    <w:rsid w:val="002659A2"/>
    <w:rsid w:val="002953CD"/>
    <w:rsid w:val="002A1408"/>
    <w:rsid w:val="002A6099"/>
    <w:rsid w:val="002B5FAE"/>
    <w:rsid w:val="002D1C78"/>
    <w:rsid w:val="002E2B0A"/>
    <w:rsid w:val="002F2206"/>
    <w:rsid w:val="00302DFA"/>
    <w:rsid w:val="00316F08"/>
    <w:rsid w:val="00321080"/>
    <w:rsid w:val="00333962"/>
    <w:rsid w:val="00336DA2"/>
    <w:rsid w:val="00351DFB"/>
    <w:rsid w:val="00367814"/>
    <w:rsid w:val="00386C57"/>
    <w:rsid w:val="0039754D"/>
    <w:rsid w:val="003D0752"/>
    <w:rsid w:val="003E3039"/>
    <w:rsid w:val="003F49BF"/>
    <w:rsid w:val="004025CD"/>
    <w:rsid w:val="00431A98"/>
    <w:rsid w:val="004324F0"/>
    <w:rsid w:val="00432EAF"/>
    <w:rsid w:val="00433491"/>
    <w:rsid w:val="00450D65"/>
    <w:rsid w:val="00465E0B"/>
    <w:rsid w:val="00474A1E"/>
    <w:rsid w:val="00485B0B"/>
    <w:rsid w:val="004973E3"/>
    <w:rsid w:val="004B656E"/>
    <w:rsid w:val="004B73EB"/>
    <w:rsid w:val="004C63FE"/>
    <w:rsid w:val="00502AF3"/>
    <w:rsid w:val="00511939"/>
    <w:rsid w:val="00534468"/>
    <w:rsid w:val="00540384"/>
    <w:rsid w:val="00552B7D"/>
    <w:rsid w:val="0055470E"/>
    <w:rsid w:val="00560D11"/>
    <w:rsid w:val="0056719D"/>
    <w:rsid w:val="0057352D"/>
    <w:rsid w:val="00574EC7"/>
    <w:rsid w:val="0057718B"/>
    <w:rsid w:val="005B2333"/>
    <w:rsid w:val="005B4DDC"/>
    <w:rsid w:val="005D158A"/>
    <w:rsid w:val="005D1CB5"/>
    <w:rsid w:val="005D1FEC"/>
    <w:rsid w:val="005D5372"/>
    <w:rsid w:val="00612202"/>
    <w:rsid w:val="006156A9"/>
    <w:rsid w:val="00616F7F"/>
    <w:rsid w:val="00634BE3"/>
    <w:rsid w:val="0064671C"/>
    <w:rsid w:val="00696CD3"/>
    <w:rsid w:val="006A2491"/>
    <w:rsid w:val="006A6BE9"/>
    <w:rsid w:val="006A6D09"/>
    <w:rsid w:val="006B4198"/>
    <w:rsid w:val="006D5FF9"/>
    <w:rsid w:val="006F51E0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B1000"/>
    <w:rsid w:val="007B5A47"/>
    <w:rsid w:val="007B761B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3C12"/>
    <w:rsid w:val="00846213"/>
    <w:rsid w:val="0086113E"/>
    <w:rsid w:val="00865531"/>
    <w:rsid w:val="00894B3C"/>
    <w:rsid w:val="008A3914"/>
    <w:rsid w:val="008A731C"/>
    <w:rsid w:val="008B0BFC"/>
    <w:rsid w:val="008C00A2"/>
    <w:rsid w:val="008D52D1"/>
    <w:rsid w:val="008F0D88"/>
    <w:rsid w:val="00917D99"/>
    <w:rsid w:val="00937BF7"/>
    <w:rsid w:val="00937CE4"/>
    <w:rsid w:val="00945890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B01673"/>
    <w:rsid w:val="00B13C96"/>
    <w:rsid w:val="00B16852"/>
    <w:rsid w:val="00B2052C"/>
    <w:rsid w:val="00B20C64"/>
    <w:rsid w:val="00B40B08"/>
    <w:rsid w:val="00B55023"/>
    <w:rsid w:val="00B635AA"/>
    <w:rsid w:val="00B841D3"/>
    <w:rsid w:val="00B96EB2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61844"/>
    <w:rsid w:val="00C8137D"/>
    <w:rsid w:val="00C86036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382E"/>
    <w:rsid w:val="00D2055D"/>
    <w:rsid w:val="00D349B7"/>
    <w:rsid w:val="00D35A3E"/>
    <w:rsid w:val="00D35CF4"/>
    <w:rsid w:val="00D46102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E2B53"/>
    <w:rsid w:val="00EE6D9E"/>
    <w:rsid w:val="00EF7B4D"/>
    <w:rsid w:val="00F2035C"/>
    <w:rsid w:val="00F37D11"/>
    <w:rsid w:val="00F40BCA"/>
    <w:rsid w:val="00F43AB4"/>
    <w:rsid w:val="00F90848"/>
    <w:rsid w:val="00FA1AFE"/>
    <w:rsid w:val="00FB0BED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9D2A-FD67-4B8A-88A3-81AAFF8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2016-04-04T05:49:00Z</cp:lastPrinted>
  <dcterms:created xsi:type="dcterms:W3CDTF">2016-04-04T06:17:00Z</dcterms:created>
  <dcterms:modified xsi:type="dcterms:W3CDTF">2016-04-04T06:17:00Z</dcterms:modified>
</cp:coreProperties>
</file>